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6701" w14:textId="77777777" w:rsidR="007E77FE" w:rsidRPr="00F84EAA" w:rsidRDefault="005353CF" w:rsidP="007E77FE">
      <w:pPr>
        <w:pStyle w:val="Default"/>
        <w:jc w:val="center"/>
        <w:rPr>
          <w:rFonts w:ascii="Comic Sans MS" w:hAnsi="Comic Sans M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4EAA">
        <w:rPr>
          <w:rFonts w:ascii="Arial" w:hAnsi="Arial" w:cs="Arial"/>
          <w:noProof/>
          <w:sz w:val="60"/>
          <w:szCs w:val="60"/>
        </w:rPr>
        <w:drawing>
          <wp:anchor distT="0" distB="0" distL="114300" distR="114300" simplePos="0" relativeHeight="251659264" behindDoc="0" locked="0" layoutInCell="1" allowOverlap="1" wp14:anchorId="055D8F50" wp14:editId="714F997F">
            <wp:simplePos x="0" y="0"/>
            <wp:positionH relativeFrom="margin">
              <wp:align>left</wp:align>
            </wp:positionH>
            <wp:positionV relativeFrom="paragraph">
              <wp:posOffset>9526</wp:posOffset>
            </wp:positionV>
            <wp:extent cx="1590675" cy="990600"/>
            <wp:effectExtent l="0" t="0" r="9525" b="0"/>
            <wp:wrapNone/>
            <wp:docPr id="2" name="Picture 2" descr="Image result for bright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ght futur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724" r="5507" b="11715"/>
                    <a:stretch/>
                  </pic:blipFill>
                  <pic:spPr bwMode="auto">
                    <a:xfrm>
                      <a:off x="0" y="0"/>
                      <a:ext cx="159067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5947" w:rsidRPr="00F84EAA">
        <w:rPr>
          <w:rFonts w:ascii="Arial" w:hAnsi="Arial" w:cs="Arial"/>
          <w:noProof/>
          <w:sz w:val="60"/>
          <w:szCs w:val="60"/>
        </w:rPr>
        <w:drawing>
          <wp:anchor distT="0" distB="0" distL="114300" distR="114300" simplePos="0" relativeHeight="251660288" behindDoc="0" locked="0" layoutInCell="1" allowOverlap="1" wp14:anchorId="15C08823" wp14:editId="163368E1">
            <wp:simplePos x="0" y="0"/>
            <wp:positionH relativeFrom="margin">
              <wp:posOffset>5391150</wp:posOffset>
            </wp:positionH>
            <wp:positionV relativeFrom="paragraph">
              <wp:posOffset>9525</wp:posOffset>
            </wp:positionV>
            <wp:extent cx="1362075" cy="1056640"/>
            <wp:effectExtent l="0" t="0" r="9525" b="0"/>
            <wp:wrapNone/>
            <wp:docPr id="3" name="Picture 3" descr="Image result for college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 mone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237" t="10784" r="6497" b="9385"/>
                    <a:stretch/>
                  </pic:blipFill>
                  <pic:spPr bwMode="auto">
                    <a:xfrm>
                      <a:off x="0" y="0"/>
                      <a:ext cx="1363532" cy="1057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77FE" w:rsidRPr="00F84EAA">
        <w:rPr>
          <w:rFonts w:ascii="Comic Sans MS" w:hAnsi="Comic Sans M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Bright Futures</w:t>
      </w:r>
    </w:p>
    <w:p w14:paraId="1F6453AD" w14:textId="77777777" w:rsidR="007E77FE" w:rsidRPr="005353CF" w:rsidRDefault="00F84EAA" w:rsidP="007E77FE">
      <w:pPr>
        <w:pStyle w:val="Default"/>
        <w:jc w:val="center"/>
        <w:rPr>
          <w:rFonts w:ascii="Comic Sans MS" w:hAnsi="Comic Sans M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4EAA">
        <w:rPr>
          <w:rFonts w:ascii="Comic Sans MS" w:hAnsi="Comic Sans MS"/>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w:t>
      </w:r>
    </w:p>
    <w:p w14:paraId="66EAE42B" w14:textId="77777777" w:rsidR="006521C7" w:rsidRDefault="006521C7" w:rsidP="00531D95">
      <w:pPr>
        <w:spacing w:after="0" w:line="240" w:lineRule="auto"/>
        <w:jc w:val="center"/>
        <w:rPr>
          <w:rFonts w:ascii="Comic Sans MS" w:hAnsi="Comic Sans MS"/>
          <w:b/>
          <w:sz w:val="26"/>
          <w:szCs w:val="26"/>
        </w:rPr>
      </w:pPr>
    </w:p>
    <w:p w14:paraId="5C403B08" w14:textId="7CD2C2EA" w:rsidR="00794057" w:rsidRPr="00A659C9" w:rsidRDefault="00485947" w:rsidP="00531D95">
      <w:pPr>
        <w:spacing w:after="0" w:line="240" w:lineRule="auto"/>
        <w:jc w:val="center"/>
        <w:rPr>
          <w:rFonts w:ascii="Comic Sans MS" w:hAnsi="Comic Sans MS"/>
          <w:b/>
          <w:sz w:val="24"/>
          <w:szCs w:val="24"/>
        </w:rPr>
      </w:pPr>
      <w:r w:rsidRPr="00A659C9">
        <w:rPr>
          <w:rFonts w:ascii="Comic Sans MS" w:hAnsi="Comic Sans MS"/>
          <w:b/>
          <w:sz w:val="24"/>
          <w:szCs w:val="24"/>
        </w:rPr>
        <w:t>Seniors, t</w:t>
      </w:r>
      <w:r w:rsidR="00F84EAA" w:rsidRPr="00A659C9">
        <w:rPr>
          <w:rFonts w:ascii="Comic Sans MS" w:hAnsi="Comic Sans MS"/>
          <w:b/>
          <w:sz w:val="24"/>
          <w:szCs w:val="24"/>
        </w:rPr>
        <w:t xml:space="preserve">he </w:t>
      </w:r>
      <w:r w:rsidRPr="00A659C9">
        <w:rPr>
          <w:rFonts w:ascii="Comic Sans MS" w:hAnsi="Comic Sans MS"/>
          <w:b/>
          <w:sz w:val="24"/>
          <w:szCs w:val="24"/>
        </w:rPr>
        <w:t xml:space="preserve">online </w:t>
      </w:r>
      <w:r w:rsidR="00D02D2D" w:rsidRPr="00A659C9">
        <w:rPr>
          <w:rFonts w:ascii="Comic Sans MS" w:hAnsi="Comic Sans MS"/>
          <w:b/>
          <w:sz w:val="24"/>
          <w:szCs w:val="24"/>
        </w:rPr>
        <w:t>application for Brig</w:t>
      </w:r>
      <w:r w:rsidR="003A159C" w:rsidRPr="00A659C9">
        <w:rPr>
          <w:rFonts w:ascii="Comic Sans MS" w:hAnsi="Comic Sans MS"/>
          <w:b/>
          <w:sz w:val="24"/>
          <w:szCs w:val="24"/>
        </w:rPr>
        <w:t>ht Futures for the Class of 202</w:t>
      </w:r>
      <w:r w:rsidR="00E33301" w:rsidRPr="00A659C9">
        <w:rPr>
          <w:rFonts w:ascii="Comic Sans MS" w:hAnsi="Comic Sans MS"/>
          <w:b/>
          <w:sz w:val="24"/>
          <w:szCs w:val="24"/>
        </w:rPr>
        <w:t>1</w:t>
      </w:r>
      <w:r w:rsidR="00D02D2D" w:rsidRPr="00A659C9">
        <w:rPr>
          <w:rFonts w:ascii="Comic Sans MS" w:hAnsi="Comic Sans MS"/>
          <w:b/>
          <w:sz w:val="24"/>
          <w:szCs w:val="24"/>
        </w:rPr>
        <w:t xml:space="preserve"> will open</w:t>
      </w:r>
      <w:r w:rsidRPr="00A659C9">
        <w:rPr>
          <w:rFonts w:ascii="Comic Sans MS" w:hAnsi="Comic Sans MS"/>
          <w:b/>
          <w:sz w:val="24"/>
          <w:szCs w:val="24"/>
        </w:rPr>
        <w:t xml:space="preserve"> on October 1,</w:t>
      </w:r>
      <w:r w:rsidRPr="00A659C9">
        <w:rPr>
          <w:rFonts w:ascii="Comic Sans MS" w:hAnsi="Comic Sans MS"/>
          <w:b/>
          <w:sz w:val="24"/>
          <w:szCs w:val="24"/>
          <w:vertAlign w:val="superscript"/>
        </w:rPr>
        <w:t xml:space="preserve"> </w:t>
      </w:r>
      <w:r w:rsidR="003A159C" w:rsidRPr="00A659C9">
        <w:rPr>
          <w:rFonts w:ascii="Comic Sans MS" w:hAnsi="Comic Sans MS"/>
          <w:b/>
          <w:sz w:val="24"/>
          <w:szCs w:val="24"/>
        </w:rPr>
        <w:t>20</w:t>
      </w:r>
      <w:r w:rsidR="00E33301" w:rsidRPr="00A659C9">
        <w:rPr>
          <w:rFonts w:ascii="Comic Sans MS" w:hAnsi="Comic Sans MS"/>
          <w:b/>
          <w:sz w:val="24"/>
          <w:szCs w:val="24"/>
        </w:rPr>
        <w:t>20</w:t>
      </w:r>
      <w:r w:rsidRPr="00A659C9">
        <w:rPr>
          <w:rFonts w:ascii="Comic Sans MS" w:hAnsi="Comic Sans MS"/>
          <w:b/>
          <w:sz w:val="24"/>
          <w:szCs w:val="24"/>
        </w:rPr>
        <w:t>!</w:t>
      </w:r>
      <w:r w:rsidR="00F84EAA" w:rsidRPr="00A659C9">
        <w:rPr>
          <w:rFonts w:ascii="Comic Sans MS" w:hAnsi="Comic Sans MS"/>
          <w:b/>
          <w:sz w:val="24"/>
          <w:szCs w:val="24"/>
        </w:rPr>
        <w:t xml:space="preserve"> </w:t>
      </w:r>
      <w:r w:rsidR="00D02D2D" w:rsidRPr="00A659C9">
        <w:rPr>
          <w:rFonts w:ascii="Comic Sans MS" w:hAnsi="Comic Sans MS"/>
          <w:b/>
          <w:sz w:val="24"/>
          <w:szCs w:val="24"/>
        </w:rPr>
        <w:t>You must complete and submit the application</w:t>
      </w:r>
      <w:r w:rsidR="00794057" w:rsidRPr="00A659C9">
        <w:rPr>
          <w:rFonts w:ascii="Comic Sans MS" w:hAnsi="Comic Sans MS"/>
          <w:b/>
          <w:sz w:val="24"/>
          <w:szCs w:val="24"/>
        </w:rPr>
        <w:t xml:space="preserve"> prior to graduation.</w:t>
      </w:r>
    </w:p>
    <w:p w14:paraId="272593F3" w14:textId="135B0517" w:rsidR="00F84EAA" w:rsidRPr="00A659C9" w:rsidRDefault="00F84EAA" w:rsidP="00531D95">
      <w:pPr>
        <w:spacing w:after="0" w:line="240" w:lineRule="auto"/>
        <w:jc w:val="center"/>
        <w:rPr>
          <w:rFonts w:ascii="Comic Sans MS" w:hAnsi="Comic Sans MS"/>
          <w:b/>
          <w:sz w:val="24"/>
          <w:szCs w:val="24"/>
        </w:rPr>
      </w:pPr>
      <w:r w:rsidRPr="00A659C9">
        <w:rPr>
          <w:rFonts w:ascii="Comic Sans MS" w:hAnsi="Comic Sans MS"/>
          <w:b/>
          <w:sz w:val="24"/>
          <w:szCs w:val="24"/>
        </w:rPr>
        <w:t xml:space="preserve">Regardless of your current eligibility status, ALL seniors should </w:t>
      </w:r>
      <w:r w:rsidR="00D02D2D" w:rsidRPr="00A659C9">
        <w:rPr>
          <w:rFonts w:ascii="Comic Sans MS" w:hAnsi="Comic Sans MS"/>
          <w:b/>
          <w:sz w:val="24"/>
          <w:szCs w:val="24"/>
        </w:rPr>
        <w:t xml:space="preserve">go on </w:t>
      </w:r>
      <w:r w:rsidRPr="00A659C9">
        <w:rPr>
          <w:rFonts w:ascii="Comic Sans MS" w:hAnsi="Comic Sans MS"/>
          <w:b/>
          <w:sz w:val="24"/>
          <w:szCs w:val="24"/>
        </w:rPr>
        <w:t>apply.</w:t>
      </w:r>
      <w:r w:rsidR="00D02D2D" w:rsidRPr="00A659C9">
        <w:rPr>
          <w:rFonts w:ascii="Comic Sans MS" w:hAnsi="Comic Sans MS"/>
          <w:b/>
          <w:sz w:val="24"/>
          <w:szCs w:val="24"/>
        </w:rPr>
        <w:t xml:space="preserve">  Do not wait to apply until you have met all the requirements.  Bright Futures will upload your transcript and service hours in </w:t>
      </w:r>
      <w:r w:rsidR="00A659C9" w:rsidRPr="00A659C9">
        <w:rPr>
          <w:rFonts w:ascii="Comic Sans MS" w:hAnsi="Comic Sans MS"/>
          <w:b/>
          <w:sz w:val="24"/>
          <w:szCs w:val="24"/>
        </w:rPr>
        <w:t xml:space="preserve">the months of </w:t>
      </w:r>
      <w:r w:rsidR="00D02D2D" w:rsidRPr="00A659C9">
        <w:rPr>
          <w:rFonts w:ascii="Comic Sans MS" w:hAnsi="Comic Sans MS"/>
          <w:b/>
          <w:sz w:val="24"/>
          <w:szCs w:val="24"/>
        </w:rPr>
        <w:t>January and June.</w:t>
      </w:r>
    </w:p>
    <w:p w14:paraId="67A99649" w14:textId="77777777" w:rsidR="006521C7" w:rsidRDefault="006521C7" w:rsidP="00531D95">
      <w:pPr>
        <w:spacing w:after="0" w:line="240" w:lineRule="auto"/>
        <w:jc w:val="center"/>
        <w:rPr>
          <w:rFonts w:ascii="Comic Sans MS" w:hAnsi="Comic Sans MS"/>
          <w:b/>
          <w:sz w:val="26"/>
          <w:szCs w:val="26"/>
        </w:rPr>
      </w:pPr>
    </w:p>
    <w:p w14:paraId="6FF75385" w14:textId="77777777" w:rsidR="00F84EAA" w:rsidRPr="007D4E09" w:rsidRDefault="00F84EAA" w:rsidP="00F84EAA">
      <w:pPr>
        <w:pStyle w:val="Default"/>
        <w:jc w:val="center"/>
        <w:rPr>
          <w:sz w:val="16"/>
          <w:szCs w:val="16"/>
        </w:rPr>
      </w:pPr>
    </w:p>
    <w:p w14:paraId="7E4C0FD2" w14:textId="25DEF2DD" w:rsidR="007E77FE" w:rsidRPr="00A659C9" w:rsidRDefault="007E77FE" w:rsidP="00531D95">
      <w:pPr>
        <w:pStyle w:val="Default"/>
        <w:rPr>
          <w:rFonts w:ascii="Comic Sans MS" w:hAnsi="Comic Sans MS" w:cs="Garamond"/>
          <w:sz w:val="22"/>
          <w:szCs w:val="22"/>
        </w:rPr>
      </w:pPr>
      <w:r w:rsidRPr="00A659C9">
        <w:rPr>
          <w:rFonts w:ascii="Comic Sans MS" w:hAnsi="Comic Sans MS" w:cs="Garamond"/>
          <w:sz w:val="22"/>
          <w:szCs w:val="22"/>
        </w:rPr>
        <w:t>Florida high school students who wish to qualify for the Florida Academic Scholars (FAS) award or the Florida Medallion Scholars (FMS) award must meet the following initial eligibility requirements:</w:t>
      </w:r>
    </w:p>
    <w:p w14:paraId="41B66A41" w14:textId="24DCA3F9" w:rsidR="00A659C9" w:rsidRDefault="00A659C9" w:rsidP="00A659C9">
      <w:pPr>
        <w:pStyle w:val="Default"/>
        <w:numPr>
          <w:ilvl w:val="0"/>
          <w:numId w:val="5"/>
        </w:numPr>
        <w:rPr>
          <w:rFonts w:ascii="Comic Sans MS" w:hAnsi="Comic Sans MS" w:cs="Garamond"/>
          <w:sz w:val="22"/>
          <w:szCs w:val="22"/>
        </w:rPr>
      </w:pPr>
      <w:r w:rsidRPr="00A659C9">
        <w:rPr>
          <w:rFonts w:ascii="Comic Sans MS" w:hAnsi="Comic Sans MS" w:cs="Garamond"/>
          <w:sz w:val="22"/>
          <w:szCs w:val="22"/>
        </w:rPr>
        <w:t>Submit the Florida Financial Aid Application (FFAA) no later than August 31 after high</w:t>
      </w:r>
    </w:p>
    <w:p w14:paraId="7517C1E7" w14:textId="4D90A929" w:rsidR="00A659C9" w:rsidRPr="00A659C9" w:rsidRDefault="00A659C9" w:rsidP="00A659C9">
      <w:pPr>
        <w:pStyle w:val="Default"/>
        <w:ind w:left="720"/>
        <w:rPr>
          <w:rFonts w:ascii="Comic Sans MS" w:hAnsi="Comic Sans MS" w:cs="Garamond"/>
          <w:sz w:val="22"/>
          <w:szCs w:val="22"/>
        </w:rPr>
      </w:pPr>
      <w:r w:rsidRPr="00A659C9">
        <w:rPr>
          <w:rFonts w:ascii="Comic Sans MS" w:hAnsi="Comic Sans MS" w:cs="Garamond"/>
          <w:sz w:val="22"/>
          <w:szCs w:val="22"/>
        </w:rPr>
        <w:t>school graduation,</w:t>
      </w:r>
    </w:p>
    <w:p w14:paraId="217CE48C" w14:textId="6249521E" w:rsidR="00A659C9" w:rsidRPr="00A659C9" w:rsidRDefault="00A659C9" w:rsidP="00A659C9">
      <w:pPr>
        <w:pStyle w:val="Default"/>
        <w:numPr>
          <w:ilvl w:val="0"/>
          <w:numId w:val="5"/>
        </w:numPr>
        <w:rPr>
          <w:rFonts w:ascii="Comic Sans MS" w:hAnsi="Comic Sans MS" w:cs="Garamond"/>
          <w:sz w:val="22"/>
          <w:szCs w:val="22"/>
        </w:rPr>
      </w:pPr>
      <w:r w:rsidRPr="00A659C9">
        <w:rPr>
          <w:rFonts w:ascii="Comic Sans MS" w:hAnsi="Comic Sans MS" w:cs="Garamond"/>
          <w:sz w:val="22"/>
          <w:szCs w:val="22"/>
        </w:rPr>
        <w:t>Complete the 16 college-preparatory courses required for admission to a state university,</w:t>
      </w:r>
    </w:p>
    <w:p w14:paraId="31E03B04" w14:textId="7A6D6303" w:rsidR="00A659C9" w:rsidRPr="00A659C9" w:rsidRDefault="00A659C9" w:rsidP="00A659C9">
      <w:pPr>
        <w:pStyle w:val="Default"/>
        <w:numPr>
          <w:ilvl w:val="0"/>
          <w:numId w:val="5"/>
        </w:numPr>
        <w:rPr>
          <w:rFonts w:ascii="Comic Sans MS" w:hAnsi="Comic Sans MS" w:cs="Garamond"/>
          <w:sz w:val="22"/>
          <w:szCs w:val="22"/>
        </w:rPr>
      </w:pPr>
      <w:r w:rsidRPr="00A659C9">
        <w:rPr>
          <w:rFonts w:ascii="Comic Sans MS" w:hAnsi="Comic Sans MS" w:cs="Garamond"/>
          <w:sz w:val="22"/>
          <w:szCs w:val="22"/>
        </w:rPr>
        <w:t>Achieve the required weighted GPA in the 16 college-preparatory courses per chart below,</w:t>
      </w:r>
    </w:p>
    <w:p w14:paraId="517C66C5" w14:textId="30213D0B" w:rsidR="00A659C9" w:rsidRPr="00A659C9" w:rsidRDefault="00A659C9" w:rsidP="00A659C9">
      <w:pPr>
        <w:pStyle w:val="Default"/>
        <w:numPr>
          <w:ilvl w:val="0"/>
          <w:numId w:val="5"/>
        </w:numPr>
        <w:rPr>
          <w:rFonts w:ascii="Comic Sans MS" w:hAnsi="Comic Sans MS" w:cs="Garamond"/>
          <w:sz w:val="22"/>
          <w:szCs w:val="22"/>
        </w:rPr>
      </w:pPr>
      <w:r w:rsidRPr="00A659C9">
        <w:rPr>
          <w:rFonts w:ascii="Comic Sans MS" w:hAnsi="Comic Sans MS" w:cs="Garamond"/>
          <w:sz w:val="22"/>
          <w:szCs w:val="22"/>
        </w:rPr>
        <w:t>Complete the required number of service hours per chart below, and</w:t>
      </w:r>
    </w:p>
    <w:p w14:paraId="73174C78" w14:textId="209E8F84" w:rsidR="00A659C9" w:rsidRPr="00A659C9" w:rsidRDefault="00A659C9" w:rsidP="00A659C9">
      <w:pPr>
        <w:pStyle w:val="Default"/>
        <w:numPr>
          <w:ilvl w:val="0"/>
          <w:numId w:val="5"/>
        </w:numPr>
        <w:rPr>
          <w:rFonts w:ascii="Comic Sans MS" w:hAnsi="Comic Sans MS" w:cs="Garamond"/>
          <w:sz w:val="22"/>
          <w:szCs w:val="22"/>
        </w:rPr>
      </w:pPr>
      <w:r w:rsidRPr="00A659C9">
        <w:rPr>
          <w:rFonts w:ascii="Comic Sans MS" w:hAnsi="Comic Sans MS" w:cs="Garamond"/>
          <w:sz w:val="22"/>
          <w:szCs w:val="22"/>
        </w:rPr>
        <w:t>Achieve the required composite ACT or combined SAT score per chart below.</w:t>
      </w:r>
    </w:p>
    <w:p w14:paraId="6DD525DB" w14:textId="3EC70DF0" w:rsidR="00A659C9" w:rsidRDefault="00A659C9" w:rsidP="00A659C9">
      <w:pPr>
        <w:pStyle w:val="Default"/>
        <w:rPr>
          <w:rFonts w:ascii="Comic Sans MS" w:hAnsi="Comic Sans MS" w:cs="Garamond"/>
          <w:noProof/>
          <w:sz w:val="16"/>
          <w:szCs w:val="16"/>
        </w:rPr>
      </w:pPr>
    </w:p>
    <w:p w14:paraId="77F68D3F" w14:textId="756E8262" w:rsidR="00A659C9" w:rsidRDefault="008E37EF" w:rsidP="00A659C9">
      <w:pPr>
        <w:pStyle w:val="Default"/>
        <w:rPr>
          <w:rFonts w:ascii="Comic Sans MS" w:hAnsi="Comic Sans MS" w:cs="Garamond"/>
          <w:noProof/>
          <w:sz w:val="16"/>
          <w:szCs w:val="16"/>
        </w:rPr>
      </w:pPr>
      <w:r>
        <w:rPr>
          <w:rFonts w:ascii="Comic Sans MS" w:hAnsi="Comic Sans MS" w:cs="Garamond"/>
          <w:noProof/>
          <w:sz w:val="16"/>
          <w:szCs w:val="16"/>
        </w:rPr>
        <w:drawing>
          <wp:anchor distT="0" distB="0" distL="114300" distR="114300" simplePos="0" relativeHeight="251661312" behindDoc="0" locked="0" layoutInCell="1" allowOverlap="1" wp14:anchorId="26AEA40E" wp14:editId="4EB1BC02">
            <wp:simplePos x="0" y="0"/>
            <wp:positionH relativeFrom="column">
              <wp:posOffset>400050</wp:posOffset>
            </wp:positionH>
            <wp:positionV relativeFrom="paragraph">
              <wp:posOffset>56515</wp:posOffset>
            </wp:positionV>
            <wp:extent cx="6004560" cy="2305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466"/>
                    <a:stretch/>
                  </pic:blipFill>
                  <pic:spPr bwMode="auto">
                    <a:xfrm>
                      <a:off x="0" y="0"/>
                      <a:ext cx="6004560" cy="2305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B31B0" w14:textId="7255BCCC" w:rsidR="00A659C9" w:rsidRDefault="00A659C9" w:rsidP="00A659C9">
      <w:pPr>
        <w:pStyle w:val="Default"/>
        <w:rPr>
          <w:rFonts w:ascii="Comic Sans MS" w:hAnsi="Comic Sans MS" w:cs="Garamond"/>
          <w:noProof/>
          <w:sz w:val="16"/>
          <w:szCs w:val="16"/>
        </w:rPr>
      </w:pPr>
    </w:p>
    <w:p w14:paraId="29F577C9" w14:textId="0B77AA83" w:rsidR="00A659C9" w:rsidRDefault="00A659C9" w:rsidP="00A659C9">
      <w:pPr>
        <w:pStyle w:val="Default"/>
        <w:rPr>
          <w:rFonts w:ascii="Comic Sans MS" w:hAnsi="Comic Sans MS" w:cs="Garamond"/>
          <w:noProof/>
          <w:sz w:val="16"/>
          <w:szCs w:val="16"/>
        </w:rPr>
      </w:pPr>
    </w:p>
    <w:p w14:paraId="466FAFED" w14:textId="558960C2" w:rsidR="00A659C9" w:rsidRDefault="00A659C9" w:rsidP="00A659C9">
      <w:pPr>
        <w:pStyle w:val="Default"/>
        <w:rPr>
          <w:rFonts w:ascii="Comic Sans MS" w:hAnsi="Comic Sans MS" w:cs="Garamond"/>
          <w:sz w:val="20"/>
          <w:szCs w:val="20"/>
        </w:rPr>
      </w:pPr>
    </w:p>
    <w:p w14:paraId="7BB64164" w14:textId="7D9C275D" w:rsidR="00A659C9" w:rsidRDefault="00A659C9" w:rsidP="00A659C9">
      <w:pPr>
        <w:pStyle w:val="Default"/>
        <w:rPr>
          <w:rFonts w:ascii="Comic Sans MS" w:hAnsi="Comic Sans MS" w:cs="Garamond"/>
          <w:sz w:val="20"/>
          <w:szCs w:val="20"/>
        </w:rPr>
      </w:pPr>
    </w:p>
    <w:p w14:paraId="4B3CC2FB" w14:textId="55CDE008" w:rsidR="00A659C9" w:rsidRDefault="00A659C9" w:rsidP="00A659C9">
      <w:pPr>
        <w:pStyle w:val="Default"/>
        <w:rPr>
          <w:rFonts w:ascii="Comic Sans MS" w:hAnsi="Comic Sans MS" w:cs="Garamond"/>
          <w:sz w:val="20"/>
          <w:szCs w:val="20"/>
        </w:rPr>
      </w:pPr>
    </w:p>
    <w:p w14:paraId="25406D42" w14:textId="7159394A" w:rsidR="00A659C9" w:rsidRDefault="00A659C9" w:rsidP="00A659C9">
      <w:pPr>
        <w:pStyle w:val="Default"/>
        <w:rPr>
          <w:rFonts w:ascii="Comic Sans MS" w:hAnsi="Comic Sans MS" w:cs="Garamond"/>
          <w:sz w:val="20"/>
          <w:szCs w:val="20"/>
        </w:rPr>
      </w:pPr>
    </w:p>
    <w:p w14:paraId="75632368" w14:textId="46DABBBA" w:rsidR="00A659C9" w:rsidRDefault="00A659C9" w:rsidP="00A659C9">
      <w:pPr>
        <w:pStyle w:val="Default"/>
        <w:rPr>
          <w:rFonts w:ascii="Comic Sans MS" w:hAnsi="Comic Sans MS" w:cs="Garamond"/>
          <w:sz w:val="20"/>
          <w:szCs w:val="20"/>
        </w:rPr>
      </w:pPr>
    </w:p>
    <w:p w14:paraId="2874D2EC" w14:textId="24CC5F1C" w:rsidR="00A659C9" w:rsidRDefault="00A659C9" w:rsidP="00A659C9">
      <w:pPr>
        <w:pStyle w:val="Default"/>
        <w:rPr>
          <w:rFonts w:ascii="Comic Sans MS" w:hAnsi="Comic Sans MS" w:cs="Garamond"/>
          <w:sz w:val="20"/>
          <w:szCs w:val="20"/>
        </w:rPr>
      </w:pPr>
    </w:p>
    <w:p w14:paraId="4F697190" w14:textId="77777777" w:rsidR="00A659C9" w:rsidRPr="007D4E09" w:rsidRDefault="00A659C9" w:rsidP="00A659C9">
      <w:pPr>
        <w:pStyle w:val="Default"/>
        <w:rPr>
          <w:rFonts w:ascii="Comic Sans MS" w:hAnsi="Comic Sans MS" w:cs="Garamond"/>
          <w:sz w:val="20"/>
          <w:szCs w:val="20"/>
        </w:rPr>
      </w:pPr>
    </w:p>
    <w:p w14:paraId="41B440C5" w14:textId="2030DE5F" w:rsidR="00531D95" w:rsidRDefault="00531D95" w:rsidP="00531D95">
      <w:pPr>
        <w:pStyle w:val="Default"/>
        <w:ind w:left="720"/>
        <w:jc w:val="both"/>
        <w:rPr>
          <w:rFonts w:ascii="Comic Sans MS" w:hAnsi="Comic Sans MS" w:cs="Garamond"/>
          <w:sz w:val="16"/>
          <w:szCs w:val="16"/>
        </w:rPr>
      </w:pPr>
    </w:p>
    <w:p w14:paraId="0DCF9FF5" w14:textId="0E19F863" w:rsidR="00A659C9" w:rsidRDefault="00A659C9" w:rsidP="00531D95">
      <w:pPr>
        <w:pStyle w:val="Default"/>
        <w:ind w:left="720"/>
        <w:jc w:val="both"/>
        <w:rPr>
          <w:rFonts w:ascii="Comic Sans MS" w:hAnsi="Comic Sans MS" w:cs="Garamond"/>
          <w:sz w:val="16"/>
          <w:szCs w:val="16"/>
        </w:rPr>
      </w:pPr>
    </w:p>
    <w:p w14:paraId="155AB6DF" w14:textId="77777777" w:rsidR="00A659C9" w:rsidRPr="00531D95" w:rsidRDefault="00A659C9" w:rsidP="00531D95">
      <w:pPr>
        <w:pStyle w:val="Default"/>
        <w:ind w:left="720"/>
        <w:jc w:val="both"/>
        <w:rPr>
          <w:rFonts w:ascii="Comic Sans MS" w:hAnsi="Comic Sans MS" w:cs="Garamond"/>
          <w:sz w:val="16"/>
          <w:szCs w:val="16"/>
        </w:rPr>
      </w:pPr>
    </w:p>
    <w:p w14:paraId="3B25A939" w14:textId="4975A4EC" w:rsidR="007E77FE" w:rsidRDefault="007E77FE" w:rsidP="007D4E09">
      <w:pPr>
        <w:spacing w:after="0"/>
        <w:rPr>
          <w:sz w:val="16"/>
          <w:szCs w:val="16"/>
        </w:rPr>
      </w:pPr>
    </w:p>
    <w:p w14:paraId="4144DBE8" w14:textId="77777777" w:rsidR="00A659C9" w:rsidRDefault="00A659C9" w:rsidP="007D4E09">
      <w:pPr>
        <w:spacing w:after="0"/>
        <w:rPr>
          <w:sz w:val="16"/>
          <w:szCs w:val="16"/>
        </w:rPr>
      </w:pPr>
    </w:p>
    <w:p w14:paraId="2ED9B983" w14:textId="77777777" w:rsidR="006521C7" w:rsidRDefault="006521C7" w:rsidP="007D4E09">
      <w:pPr>
        <w:spacing w:after="0"/>
        <w:rPr>
          <w:sz w:val="16"/>
          <w:szCs w:val="16"/>
        </w:rPr>
      </w:pPr>
    </w:p>
    <w:p w14:paraId="71AEAD34" w14:textId="77777777" w:rsidR="006521C7" w:rsidRPr="00531D95" w:rsidRDefault="006521C7" w:rsidP="007D4E09">
      <w:pPr>
        <w:spacing w:after="0"/>
        <w:rPr>
          <w:sz w:val="16"/>
          <w:szCs w:val="16"/>
        </w:rPr>
      </w:pPr>
    </w:p>
    <w:p w14:paraId="5537A331" w14:textId="77777777" w:rsidR="00531D95" w:rsidRPr="00A659C9" w:rsidRDefault="00531D95" w:rsidP="007D4E09">
      <w:pPr>
        <w:pStyle w:val="ListParagraph"/>
        <w:numPr>
          <w:ilvl w:val="0"/>
          <w:numId w:val="4"/>
        </w:numPr>
        <w:spacing w:after="0" w:line="240" w:lineRule="auto"/>
        <w:rPr>
          <w:rFonts w:ascii="Comic Sans MS" w:hAnsi="Comic Sans MS"/>
        </w:rPr>
      </w:pPr>
      <w:r w:rsidRPr="00A659C9">
        <w:rPr>
          <w:rFonts w:ascii="Comic Sans MS" w:hAnsi="Comic Sans MS"/>
        </w:rPr>
        <w:t xml:space="preserve">Bright Futures GPA is NOT the same as report card GPA. </w:t>
      </w:r>
    </w:p>
    <w:p w14:paraId="527C8004" w14:textId="77777777" w:rsidR="00531D95" w:rsidRPr="00A659C9" w:rsidRDefault="00531D95" w:rsidP="00531D95">
      <w:pPr>
        <w:pStyle w:val="ListParagraph"/>
        <w:numPr>
          <w:ilvl w:val="0"/>
          <w:numId w:val="4"/>
        </w:numPr>
        <w:spacing w:after="0" w:line="240" w:lineRule="auto"/>
        <w:rPr>
          <w:rFonts w:ascii="Comic Sans MS" w:hAnsi="Comic Sans MS"/>
          <w:i/>
        </w:rPr>
      </w:pPr>
      <w:r w:rsidRPr="00A659C9">
        <w:rPr>
          <w:rFonts w:ascii="Comic Sans MS" w:hAnsi="Comic Sans MS"/>
        </w:rPr>
        <w:t xml:space="preserve">Bright Futures GPA = 16 credits- Semester grades in approved English (4 credits), Social Studies (3 credits), Science (3 credits), Math (4 credits), and World Language (2 credits) courses </w:t>
      </w:r>
      <w:r w:rsidRPr="00A659C9">
        <w:rPr>
          <w:rFonts w:ascii="Comic Sans MS" w:hAnsi="Comic Sans MS"/>
          <w:b/>
        </w:rPr>
        <w:t>only</w:t>
      </w:r>
      <w:r w:rsidRPr="00A659C9">
        <w:rPr>
          <w:rFonts w:ascii="Comic Sans MS" w:hAnsi="Comic Sans MS"/>
        </w:rPr>
        <w:t>.</w:t>
      </w:r>
      <w:r w:rsidRPr="00A659C9">
        <w:rPr>
          <w:rFonts w:ascii="Comic Sans MS" w:hAnsi="Comic Sans MS"/>
          <w:i/>
        </w:rPr>
        <w:t xml:space="preserve">  </w:t>
      </w:r>
    </w:p>
    <w:p w14:paraId="0D4804E7" w14:textId="77777777" w:rsidR="006521C7" w:rsidRPr="00A659C9" w:rsidRDefault="006521C7" w:rsidP="006521C7">
      <w:pPr>
        <w:pStyle w:val="ListParagraph"/>
        <w:numPr>
          <w:ilvl w:val="0"/>
          <w:numId w:val="4"/>
        </w:numPr>
        <w:spacing w:after="0" w:line="240" w:lineRule="auto"/>
        <w:rPr>
          <w:rFonts w:ascii="Comic Sans MS" w:hAnsi="Comic Sans MS"/>
        </w:rPr>
      </w:pPr>
      <w:r w:rsidRPr="00A659C9">
        <w:rPr>
          <w:rFonts w:ascii="Comic Sans MS" w:hAnsi="Comic Sans MS"/>
        </w:rPr>
        <w:t>Bright Futures weighs honors, AP, and dual enrollment classes equally with 0.5 per credit earned – NOT 1.0 weight for AP or DE!</w:t>
      </w:r>
    </w:p>
    <w:p w14:paraId="1EF0D787" w14:textId="77777777" w:rsidR="00531D95" w:rsidRPr="00A659C9" w:rsidRDefault="00531D95" w:rsidP="00531D95">
      <w:pPr>
        <w:pStyle w:val="ListParagraph"/>
        <w:numPr>
          <w:ilvl w:val="0"/>
          <w:numId w:val="4"/>
        </w:numPr>
        <w:spacing w:after="0" w:line="240" w:lineRule="auto"/>
        <w:rPr>
          <w:rFonts w:ascii="Comic Sans MS" w:hAnsi="Comic Sans MS"/>
        </w:rPr>
      </w:pPr>
      <w:r w:rsidRPr="00A659C9">
        <w:rPr>
          <w:rFonts w:ascii="Comic Sans MS" w:hAnsi="Comic Sans MS"/>
        </w:rPr>
        <w:t xml:space="preserve">ASL counts as a world language for FL public schools. </w:t>
      </w:r>
    </w:p>
    <w:p w14:paraId="18892612" w14:textId="77777777" w:rsidR="00531D95" w:rsidRPr="00A659C9" w:rsidRDefault="00531D95" w:rsidP="00531D95">
      <w:pPr>
        <w:pStyle w:val="ListParagraph"/>
        <w:numPr>
          <w:ilvl w:val="0"/>
          <w:numId w:val="4"/>
        </w:numPr>
        <w:spacing w:after="0" w:line="240" w:lineRule="auto"/>
        <w:rPr>
          <w:rFonts w:ascii="Comic Sans MS" w:hAnsi="Comic Sans MS"/>
        </w:rPr>
      </w:pPr>
      <w:r w:rsidRPr="00A659C9">
        <w:rPr>
          <w:rFonts w:ascii="Comic Sans MS" w:hAnsi="Comic Sans MS"/>
        </w:rPr>
        <w:t>Bright Futures will also accept two additional academic electives toward the GPA calculation if it benefits the student.</w:t>
      </w:r>
    </w:p>
    <w:p w14:paraId="608633B7" w14:textId="77777777" w:rsidR="00637A07" w:rsidRPr="00A659C9" w:rsidRDefault="00531D95" w:rsidP="00637A07">
      <w:pPr>
        <w:pStyle w:val="ListParagraph"/>
        <w:numPr>
          <w:ilvl w:val="0"/>
          <w:numId w:val="4"/>
        </w:numPr>
        <w:spacing w:after="0" w:line="240" w:lineRule="auto"/>
        <w:rPr>
          <w:rFonts w:ascii="Comic Sans MS" w:hAnsi="Comic Sans MS"/>
        </w:rPr>
      </w:pPr>
      <w:r w:rsidRPr="00A659C9">
        <w:rPr>
          <w:rFonts w:ascii="Comic Sans MS" w:hAnsi="Comic Sans MS" w:cs="Arial"/>
          <w:color w:val="000000"/>
        </w:rPr>
        <w:t>Remember, you have until graduation day to increase your GPA, credi</w:t>
      </w:r>
      <w:r w:rsidR="007D4E09" w:rsidRPr="00A659C9">
        <w:rPr>
          <w:rFonts w:ascii="Comic Sans MS" w:hAnsi="Comic Sans MS" w:cs="Arial"/>
          <w:color w:val="000000"/>
        </w:rPr>
        <w:t>ts, and community service hours.</w:t>
      </w:r>
    </w:p>
    <w:p w14:paraId="5D7CB073" w14:textId="52DAC2D3" w:rsidR="006521C7" w:rsidRDefault="006521C7" w:rsidP="008E37EF">
      <w:pPr>
        <w:spacing w:after="0" w:line="240" w:lineRule="auto"/>
      </w:pPr>
    </w:p>
    <w:p w14:paraId="2D70F6F3" w14:textId="77777777" w:rsidR="008E37EF" w:rsidRPr="008E37EF" w:rsidRDefault="008E37EF" w:rsidP="008E37EF">
      <w:pPr>
        <w:spacing w:after="0" w:line="240" w:lineRule="auto"/>
      </w:pPr>
    </w:p>
    <w:p w14:paraId="138A1EDF" w14:textId="77777777" w:rsidR="00DA2350" w:rsidRPr="007D4E09" w:rsidRDefault="00794057" w:rsidP="007D4E09">
      <w:pPr>
        <w:pStyle w:val="ListParagraph"/>
        <w:spacing w:after="0" w:line="240" w:lineRule="auto"/>
        <w:jc w:val="center"/>
        <w:rPr>
          <w:rFonts w:asciiTheme="minorHAnsi" w:hAnsiTheme="minorHAnsi"/>
        </w:rPr>
      </w:pPr>
      <w:r w:rsidRPr="007D4E09">
        <w:rPr>
          <w:rFonts w:ascii="Comic Sans MS" w:hAnsi="Comic Sans MS" w:cstheme="minorBidi"/>
          <w:b/>
        </w:rPr>
        <w:lastRenderedPageBreak/>
        <w:t xml:space="preserve">~ </w:t>
      </w:r>
      <w:r w:rsidR="00DA2350" w:rsidRPr="007D4E09">
        <w:rPr>
          <w:rFonts w:ascii="Comic Sans MS" w:hAnsi="Comic Sans MS" w:cstheme="minorBidi"/>
          <w:b/>
        </w:rPr>
        <w:t>Further Information on Back</w:t>
      </w:r>
      <w:r w:rsidRPr="007D4E09">
        <w:rPr>
          <w:rFonts w:ascii="Comic Sans MS" w:hAnsi="Comic Sans MS" w:cstheme="minorBidi"/>
          <w:b/>
        </w:rPr>
        <w:t xml:space="preserve"> ~</w:t>
      </w:r>
    </w:p>
    <w:p w14:paraId="34CF047D" w14:textId="77777777" w:rsidR="007E77FE" w:rsidRPr="007E77FE" w:rsidRDefault="007E77FE" w:rsidP="007E77FE">
      <w:pPr>
        <w:pStyle w:val="Default"/>
        <w:jc w:val="both"/>
        <w:rPr>
          <w:rFonts w:ascii="Comic Sans MS" w:hAnsi="Comic Sans MS"/>
          <w:sz w:val="23"/>
          <w:szCs w:val="23"/>
        </w:rPr>
      </w:pPr>
      <w:r w:rsidRPr="007E77FE">
        <w:rPr>
          <w:rFonts w:ascii="Comic Sans MS" w:hAnsi="Comic Sans MS"/>
          <w:b/>
          <w:bCs/>
          <w:sz w:val="23"/>
          <w:szCs w:val="23"/>
        </w:rPr>
        <w:t xml:space="preserve">High School Course Credits </w:t>
      </w:r>
    </w:p>
    <w:p w14:paraId="04EC0116" w14:textId="77777777" w:rsidR="007E77FE" w:rsidRPr="007E77FE" w:rsidRDefault="007E77FE" w:rsidP="007E77FE">
      <w:pPr>
        <w:pStyle w:val="Default"/>
        <w:jc w:val="both"/>
        <w:rPr>
          <w:rFonts w:ascii="Comic Sans MS" w:hAnsi="Comic Sans MS"/>
          <w:sz w:val="23"/>
          <w:szCs w:val="23"/>
        </w:rPr>
      </w:pPr>
      <w:r w:rsidRPr="007E77FE">
        <w:rPr>
          <w:rFonts w:ascii="Comic Sans MS" w:hAnsi="Comic Sans MS"/>
          <w:sz w:val="23"/>
          <w:szCs w:val="23"/>
        </w:rPr>
        <w:t xml:space="preserve">For both scholarships, the required coursework aligns with the State University System admission requirements. The world language requirement can be met by demonstrating proficiencies based on scores on Credit-By-Exam Equivalencies or other university approved means. Otherwise, the high school transcript must include a world language “completer” course to show that the world language requirement has been met. Please refer to the Bright Futures Course Table for specific information on which courses count toward FAS/FMS requirements. </w:t>
      </w:r>
    </w:p>
    <w:p w14:paraId="6CF25C04" w14:textId="77777777" w:rsidR="007E77FE" w:rsidRPr="006521C7" w:rsidRDefault="007E77FE" w:rsidP="007E77FE">
      <w:pPr>
        <w:pStyle w:val="Default"/>
        <w:jc w:val="both"/>
        <w:rPr>
          <w:rFonts w:ascii="Comic Sans MS" w:hAnsi="Comic Sans MS"/>
          <w:sz w:val="16"/>
          <w:szCs w:val="16"/>
        </w:rPr>
      </w:pPr>
    </w:p>
    <w:p w14:paraId="28C0FA0B" w14:textId="77777777" w:rsidR="007E77FE" w:rsidRPr="007E77FE" w:rsidRDefault="007E77FE" w:rsidP="007E77FE">
      <w:pPr>
        <w:pStyle w:val="Default"/>
        <w:jc w:val="both"/>
        <w:rPr>
          <w:rFonts w:ascii="Comic Sans MS" w:hAnsi="Comic Sans MS"/>
          <w:sz w:val="23"/>
          <w:szCs w:val="23"/>
        </w:rPr>
      </w:pPr>
      <w:r w:rsidRPr="007E77FE">
        <w:rPr>
          <w:rFonts w:ascii="Comic Sans MS" w:hAnsi="Comic Sans MS"/>
          <w:b/>
          <w:bCs/>
          <w:sz w:val="23"/>
          <w:szCs w:val="23"/>
        </w:rPr>
        <w:t xml:space="preserve">High School GPA </w:t>
      </w:r>
    </w:p>
    <w:p w14:paraId="0E4543C1" w14:textId="77777777" w:rsidR="007E77FE" w:rsidRPr="007E77FE" w:rsidRDefault="007E77FE" w:rsidP="007E77FE">
      <w:pPr>
        <w:pStyle w:val="Default"/>
        <w:jc w:val="both"/>
        <w:rPr>
          <w:rFonts w:ascii="Comic Sans MS" w:hAnsi="Comic Sans MS"/>
          <w:sz w:val="23"/>
          <w:szCs w:val="23"/>
        </w:rPr>
      </w:pPr>
      <w:r w:rsidRPr="007E77FE">
        <w:rPr>
          <w:rFonts w:ascii="Comic Sans MS" w:hAnsi="Comic Sans MS"/>
          <w:sz w:val="23"/>
          <w:szCs w:val="23"/>
        </w:rPr>
        <w:t xml:space="preserve">Evaluation for Bright Futures includes an unrounded weighted high school GPA (calculated to two decimal places) in the 16 college-preparatory credits. The following courses are weighted .25 per semester course or .50 per year course in the calculation of the GPA: Advanced Placement (AP), Pre-International Baccalaureate (Pre-IB), International Baccalaureate (IB), Honors, Pre-Advanced International Certificate of Education (Pre-AICE), Advanced International Certificate of Education (AICE) or academic Dual Enrollment. For example, whereas an ‘A’ equals 4 quality points for an un-weighted course, an ‘A’ would equal 4.5 quality points for a weighted course. </w:t>
      </w:r>
    </w:p>
    <w:p w14:paraId="1244E8BB" w14:textId="77777777" w:rsidR="007E77FE" w:rsidRPr="007E77FE" w:rsidRDefault="007E77FE" w:rsidP="007E77FE">
      <w:pPr>
        <w:pStyle w:val="Default"/>
        <w:jc w:val="both"/>
        <w:rPr>
          <w:rFonts w:ascii="Comic Sans MS" w:hAnsi="Comic Sans MS"/>
          <w:sz w:val="23"/>
          <w:szCs w:val="23"/>
        </w:rPr>
      </w:pPr>
      <w:r w:rsidRPr="007E77FE">
        <w:rPr>
          <w:rFonts w:ascii="Comic Sans MS" w:hAnsi="Comic Sans MS"/>
          <w:sz w:val="23"/>
          <w:szCs w:val="23"/>
        </w:rPr>
        <w:t xml:space="preserve">If necessary, students may use two additional credits from courses in the above academic areas, or from AP, IB, or AICE fine arts courses to raise their GPA. </w:t>
      </w:r>
    </w:p>
    <w:p w14:paraId="78A10873" w14:textId="77777777" w:rsidR="007E77FE" w:rsidRPr="006521C7" w:rsidRDefault="007E77FE" w:rsidP="007E77FE">
      <w:pPr>
        <w:pStyle w:val="Default"/>
        <w:jc w:val="both"/>
        <w:rPr>
          <w:rFonts w:ascii="Comic Sans MS" w:hAnsi="Comic Sans MS"/>
          <w:sz w:val="16"/>
          <w:szCs w:val="16"/>
        </w:rPr>
      </w:pPr>
    </w:p>
    <w:p w14:paraId="54CE1EA9" w14:textId="77777777" w:rsidR="007E77FE" w:rsidRPr="007E77FE" w:rsidRDefault="007E77FE" w:rsidP="007E77FE">
      <w:pPr>
        <w:pStyle w:val="Default"/>
        <w:jc w:val="both"/>
        <w:rPr>
          <w:rFonts w:ascii="Comic Sans MS" w:hAnsi="Comic Sans MS"/>
          <w:sz w:val="23"/>
          <w:szCs w:val="23"/>
        </w:rPr>
      </w:pPr>
      <w:r w:rsidRPr="007E77FE">
        <w:rPr>
          <w:rFonts w:ascii="Comic Sans MS" w:hAnsi="Comic Sans MS"/>
          <w:b/>
          <w:bCs/>
          <w:sz w:val="23"/>
          <w:szCs w:val="23"/>
        </w:rPr>
        <w:t xml:space="preserve">College Entrance Exams </w:t>
      </w:r>
    </w:p>
    <w:p w14:paraId="027B0F0B" w14:textId="77777777" w:rsidR="007E77FE" w:rsidRPr="007E77FE" w:rsidRDefault="007E77FE" w:rsidP="007E77FE">
      <w:pPr>
        <w:pStyle w:val="Default"/>
        <w:jc w:val="both"/>
        <w:rPr>
          <w:rFonts w:ascii="Comic Sans MS" w:hAnsi="Comic Sans MS"/>
          <w:sz w:val="23"/>
          <w:szCs w:val="23"/>
        </w:rPr>
      </w:pPr>
      <w:r w:rsidRPr="007E77FE">
        <w:rPr>
          <w:rFonts w:ascii="Comic Sans MS" w:hAnsi="Comic Sans MS"/>
          <w:sz w:val="23"/>
          <w:szCs w:val="23"/>
        </w:rPr>
        <w:t>The College Board introduced a new entrance exam (Redesigned SAT</w:t>
      </w:r>
      <w:r w:rsidRPr="007E77FE">
        <w:rPr>
          <w:rFonts w:ascii="Comic Sans MS" w:hAnsi="Comic Sans MS"/>
          <w:sz w:val="14"/>
          <w:szCs w:val="14"/>
        </w:rPr>
        <w:t>®</w:t>
      </w:r>
      <w:r w:rsidRPr="007E77FE">
        <w:rPr>
          <w:rFonts w:ascii="Comic Sans MS" w:hAnsi="Comic Sans MS"/>
          <w:sz w:val="23"/>
          <w:szCs w:val="23"/>
        </w:rPr>
        <w:t xml:space="preserve">) beginning March 2016. </w:t>
      </w:r>
    </w:p>
    <w:p w14:paraId="45FCBDB6" w14:textId="77777777" w:rsidR="007E77FE" w:rsidRPr="007E77FE" w:rsidRDefault="007E77FE" w:rsidP="007E77FE">
      <w:pPr>
        <w:pStyle w:val="Default"/>
        <w:spacing w:after="118"/>
        <w:jc w:val="both"/>
        <w:rPr>
          <w:rFonts w:ascii="Comic Sans MS" w:hAnsi="Comic Sans MS"/>
          <w:sz w:val="23"/>
          <w:szCs w:val="23"/>
        </w:rPr>
      </w:pPr>
      <w:r w:rsidRPr="007E77FE">
        <w:rPr>
          <w:rFonts w:ascii="Comic Sans MS" w:hAnsi="Comic Sans MS"/>
          <w:sz w:val="23"/>
          <w:szCs w:val="23"/>
        </w:rPr>
        <w:t>• The SAT</w:t>
      </w:r>
      <w:r w:rsidRPr="007E77FE">
        <w:rPr>
          <w:rFonts w:ascii="Comic Sans MS" w:hAnsi="Comic Sans MS"/>
          <w:sz w:val="14"/>
          <w:szCs w:val="14"/>
        </w:rPr>
        <w:t xml:space="preserve">® </w:t>
      </w:r>
      <w:r w:rsidRPr="007E77FE">
        <w:rPr>
          <w:rFonts w:ascii="Comic Sans MS" w:hAnsi="Comic Sans MS"/>
          <w:sz w:val="23"/>
          <w:szCs w:val="23"/>
        </w:rPr>
        <w:t>(SAT administered prior to March 2016) combined score is the sum of the best Critical Reading and Math scores from any test sitting of this version of the ‘Old’ SAT</w:t>
      </w:r>
      <w:r w:rsidRPr="007E77FE">
        <w:rPr>
          <w:rFonts w:ascii="Comic Sans MS" w:hAnsi="Comic Sans MS"/>
          <w:sz w:val="14"/>
          <w:szCs w:val="14"/>
        </w:rPr>
        <w:t>®</w:t>
      </w:r>
      <w:r w:rsidRPr="007E77FE">
        <w:rPr>
          <w:rFonts w:ascii="Comic Sans MS" w:hAnsi="Comic Sans MS"/>
          <w:sz w:val="23"/>
          <w:szCs w:val="23"/>
        </w:rPr>
        <w:t xml:space="preserve">. </w:t>
      </w:r>
    </w:p>
    <w:p w14:paraId="0C06C91D" w14:textId="77777777" w:rsidR="007E77FE" w:rsidRPr="007E77FE" w:rsidRDefault="007E77FE" w:rsidP="007E77FE">
      <w:pPr>
        <w:pStyle w:val="Default"/>
        <w:spacing w:after="118"/>
        <w:jc w:val="both"/>
        <w:rPr>
          <w:rFonts w:ascii="Comic Sans MS" w:hAnsi="Comic Sans MS"/>
          <w:sz w:val="23"/>
          <w:szCs w:val="23"/>
        </w:rPr>
      </w:pPr>
      <w:r w:rsidRPr="007E77FE">
        <w:rPr>
          <w:rFonts w:ascii="Comic Sans MS" w:hAnsi="Comic Sans MS"/>
          <w:sz w:val="23"/>
          <w:szCs w:val="23"/>
        </w:rPr>
        <w:t>• The Redesigned SAT</w:t>
      </w:r>
      <w:r w:rsidRPr="007E77FE">
        <w:rPr>
          <w:rFonts w:ascii="Comic Sans MS" w:hAnsi="Comic Sans MS"/>
          <w:sz w:val="14"/>
          <w:szCs w:val="14"/>
        </w:rPr>
        <w:t xml:space="preserve">® </w:t>
      </w:r>
      <w:r w:rsidRPr="007E77FE">
        <w:rPr>
          <w:rFonts w:ascii="Comic Sans MS" w:hAnsi="Comic Sans MS"/>
          <w:sz w:val="23"/>
          <w:szCs w:val="23"/>
        </w:rPr>
        <w:t>(SAT administered beginning March 2016) combined score is the sum or the best Evidence-based Reading and Writing and Math from any test sitting of this version of the ‘New’ SAT</w:t>
      </w:r>
      <w:r w:rsidRPr="007E77FE">
        <w:rPr>
          <w:rFonts w:ascii="Comic Sans MS" w:hAnsi="Comic Sans MS"/>
          <w:sz w:val="14"/>
          <w:szCs w:val="14"/>
        </w:rPr>
        <w:t>®</w:t>
      </w:r>
      <w:r w:rsidRPr="007E77FE">
        <w:rPr>
          <w:rFonts w:ascii="Comic Sans MS" w:hAnsi="Comic Sans MS"/>
          <w:sz w:val="23"/>
          <w:szCs w:val="23"/>
        </w:rPr>
        <w:t xml:space="preserve">. </w:t>
      </w:r>
    </w:p>
    <w:p w14:paraId="7B5E076B" w14:textId="77777777" w:rsidR="007E77FE" w:rsidRPr="007E77FE" w:rsidRDefault="007E77FE" w:rsidP="007E77FE">
      <w:pPr>
        <w:pStyle w:val="Default"/>
        <w:spacing w:after="118"/>
        <w:jc w:val="both"/>
        <w:rPr>
          <w:rFonts w:ascii="Comic Sans MS" w:hAnsi="Comic Sans MS"/>
          <w:sz w:val="23"/>
          <w:szCs w:val="23"/>
        </w:rPr>
      </w:pPr>
      <w:r w:rsidRPr="007E77FE">
        <w:rPr>
          <w:rFonts w:ascii="Comic Sans MS" w:hAnsi="Comic Sans MS"/>
          <w:sz w:val="23"/>
          <w:szCs w:val="23"/>
        </w:rPr>
        <w:t>• The ACT</w:t>
      </w:r>
      <w:r w:rsidRPr="007E77FE">
        <w:rPr>
          <w:rFonts w:ascii="Comic Sans MS" w:hAnsi="Comic Sans MS"/>
          <w:sz w:val="14"/>
          <w:szCs w:val="14"/>
        </w:rPr>
        <w:t xml:space="preserve">® </w:t>
      </w:r>
      <w:r w:rsidRPr="007E77FE">
        <w:rPr>
          <w:rFonts w:ascii="Comic Sans MS" w:hAnsi="Comic Sans MS"/>
          <w:sz w:val="23"/>
          <w:szCs w:val="23"/>
        </w:rPr>
        <w:t xml:space="preserve">composite score is the average of the best scores across the four subject area sections from any test sitting: English, Math, Reading and Science. Composite scores ending in 0.50 will be rounded up to the next whole number. </w:t>
      </w:r>
    </w:p>
    <w:p w14:paraId="614F8250" w14:textId="77777777" w:rsidR="007E77FE" w:rsidRPr="007E77FE" w:rsidRDefault="007E77FE" w:rsidP="007E77FE">
      <w:pPr>
        <w:pStyle w:val="Default"/>
        <w:spacing w:after="118"/>
        <w:jc w:val="both"/>
        <w:rPr>
          <w:rFonts w:ascii="Comic Sans MS" w:hAnsi="Comic Sans MS"/>
          <w:sz w:val="23"/>
          <w:szCs w:val="23"/>
        </w:rPr>
      </w:pPr>
      <w:r w:rsidRPr="007E77FE">
        <w:rPr>
          <w:rFonts w:ascii="Comic Sans MS" w:hAnsi="Comic Sans MS"/>
          <w:sz w:val="23"/>
          <w:szCs w:val="23"/>
        </w:rPr>
        <w:t>• The ACT</w:t>
      </w:r>
      <w:r w:rsidRPr="007E77FE">
        <w:rPr>
          <w:rFonts w:ascii="Comic Sans MS" w:hAnsi="Comic Sans MS"/>
          <w:sz w:val="14"/>
          <w:szCs w:val="14"/>
        </w:rPr>
        <w:t>®</w:t>
      </w:r>
      <w:r w:rsidRPr="007E77FE">
        <w:rPr>
          <w:rFonts w:ascii="Comic Sans MS" w:hAnsi="Comic Sans MS"/>
          <w:sz w:val="23"/>
          <w:szCs w:val="23"/>
        </w:rPr>
        <w:t>/SAT</w:t>
      </w:r>
      <w:r w:rsidRPr="007E77FE">
        <w:rPr>
          <w:rFonts w:ascii="Comic Sans MS" w:hAnsi="Comic Sans MS"/>
          <w:sz w:val="14"/>
          <w:szCs w:val="14"/>
        </w:rPr>
        <w:t xml:space="preserve">® </w:t>
      </w:r>
      <w:r w:rsidRPr="007E77FE">
        <w:rPr>
          <w:rFonts w:ascii="Comic Sans MS" w:hAnsi="Comic Sans MS"/>
          <w:sz w:val="23"/>
          <w:szCs w:val="23"/>
        </w:rPr>
        <w:t xml:space="preserve">exams may be taken an unlimited number of times through June 30 of the student’s graduation year (or through January 31 for mid-year graduates). </w:t>
      </w:r>
    </w:p>
    <w:p w14:paraId="42472D60" w14:textId="77777777" w:rsidR="007E77FE" w:rsidRPr="007E77FE" w:rsidRDefault="007E77FE" w:rsidP="007E77FE">
      <w:pPr>
        <w:pStyle w:val="Default"/>
        <w:jc w:val="both"/>
        <w:rPr>
          <w:rFonts w:ascii="Comic Sans MS" w:hAnsi="Comic Sans MS"/>
          <w:sz w:val="23"/>
          <w:szCs w:val="23"/>
        </w:rPr>
      </w:pPr>
      <w:r w:rsidRPr="007E77FE">
        <w:rPr>
          <w:rFonts w:ascii="Comic Sans MS" w:hAnsi="Comic Sans MS"/>
          <w:sz w:val="23"/>
          <w:szCs w:val="23"/>
        </w:rPr>
        <w:t>• Request test scores be sent to one of Florida’s 12 state universities, Florida state colleges (public community colleges), or public high schools when registering for the ACT</w:t>
      </w:r>
      <w:r w:rsidRPr="007E77FE">
        <w:rPr>
          <w:rFonts w:ascii="Comic Sans MS" w:hAnsi="Comic Sans MS"/>
          <w:sz w:val="14"/>
          <w:szCs w:val="14"/>
        </w:rPr>
        <w:t>®</w:t>
      </w:r>
      <w:r w:rsidRPr="007E77FE">
        <w:rPr>
          <w:rFonts w:ascii="Comic Sans MS" w:hAnsi="Comic Sans MS"/>
          <w:sz w:val="23"/>
          <w:szCs w:val="23"/>
        </w:rPr>
        <w:t>/SAT</w:t>
      </w:r>
      <w:r w:rsidRPr="007E77FE">
        <w:rPr>
          <w:rFonts w:ascii="Comic Sans MS" w:hAnsi="Comic Sans MS"/>
          <w:sz w:val="14"/>
          <w:szCs w:val="14"/>
        </w:rPr>
        <w:t xml:space="preserve">® </w:t>
      </w:r>
      <w:r w:rsidRPr="007E77FE">
        <w:rPr>
          <w:rFonts w:ascii="Comic Sans MS" w:hAnsi="Comic Sans MS"/>
          <w:sz w:val="23"/>
          <w:szCs w:val="23"/>
        </w:rPr>
        <w:t xml:space="preserve">so that test scores will be sent to the Florida Department of Education (FDOE) repository. </w:t>
      </w:r>
    </w:p>
    <w:p w14:paraId="3FA48E72" w14:textId="77777777" w:rsidR="007E77FE" w:rsidRPr="006521C7" w:rsidRDefault="007E77FE" w:rsidP="007E77FE">
      <w:pPr>
        <w:pStyle w:val="Default"/>
        <w:jc w:val="both"/>
        <w:rPr>
          <w:rFonts w:ascii="Comic Sans MS" w:hAnsi="Comic Sans MS"/>
          <w:sz w:val="16"/>
          <w:szCs w:val="16"/>
        </w:rPr>
      </w:pPr>
    </w:p>
    <w:p w14:paraId="26F98BB3" w14:textId="77777777" w:rsidR="007E77FE" w:rsidRPr="007E77FE" w:rsidRDefault="007E77FE" w:rsidP="007E77FE">
      <w:pPr>
        <w:pStyle w:val="Default"/>
        <w:jc w:val="both"/>
        <w:rPr>
          <w:rFonts w:ascii="Comic Sans MS" w:hAnsi="Comic Sans MS"/>
          <w:sz w:val="23"/>
          <w:szCs w:val="23"/>
        </w:rPr>
      </w:pPr>
      <w:r w:rsidRPr="007E77FE">
        <w:rPr>
          <w:rFonts w:ascii="Comic Sans MS" w:hAnsi="Comic Sans MS"/>
          <w:b/>
          <w:bCs/>
          <w:sz w:val="23"/>
          <w:szCs w:val="23"/>
        </w:rPr>
        <w:t xml:space="preserve">Service Hours </w:t>
      </w:r>
      <w:r w:rsidR="00794057">
        <w:rPr>
          <w:rFonts w:ascii="Comic Sans MS" w:hAnsi="Comic Sans MS"/>
          <w:b/>
          <w:bCs/>
          <w:sz w:val="23"/>
          <w:szCs w:val="23"/>
        </w:rPr>
        <w:t xml:space="preserve">– Turn in to Mrs. </w:t>
      </w:r>
      <w:r w:rsidR="005353CF">
        <w:rPr>
          <w:rFonts w:ascii="Comic Sans MS" w:hAnsi="Comic Sans MS"/>
          <w:b/>
          <w:bCs/>
          <w:sz w:val="23"/>
          <w:szCs w:val="23"/>
        </w:rPr>
        <w:t>Richards</w:t>
      </w:r>
      <w:r w:rsidR="00794057">
        <w:rPr>
          <w:rFonts w:ascii="Comic Sans MS" w:hAnsi="Comic Sans MS"/>
          <w:b/>
          <w:bCs/>
          <w:sz w:val="23"/>
          <w:szCs w:val="23"/>
        </w:rPr>
        <w:t xml:space="preserve"> in Guidance</w:t>
      </w:r>
    </w:p>
    <w:p w14:paraId="4E71152A" w14:textId="77777777" w:rsidR="006521C7" w:rsidRPr="006521C7" w:rsidRDefault="007E77FE" w:rsidP="007E77FE">
      <w:pPr>
        <w:jc w:val="both"/>
        <w:rPr>
          <w:rFonts w:ascii="Comic Sans MS" w:hAnsi="Comic Sans MS"/>
          <w:sz w:val="23"/>
          <w:szCs w:val="23"/>
        </w:rPr>
      </w:pPr>
      <w:r w:rsidRPr="007E77FE">
        <w:rPr>
          <w:rFonts w:ascii="Comic Sans MS" w:hAnsi="Comic Sans MS"/>
          <w:sz w:val="23"/>
          <w:szCs w:val="23"/>
        </w:rPr>
        <w:t xml:space="preserve">Students must complete volunteer service hours during high school and by high school graduation. Service hours may include, but are not limited to, a business or governmental internship, work for a </w:t>
      </w:r>
      <w:r w:rsidRPr="00794057">
        <w:rPr>
          <w:rFonts w:ascii="Comic Sans MS" w:hAnsi="Comic Sans MS"/>
          <w:sz w:val="23"/>
          <w:szCs w:val="23"/>
          <w:u w:val="single"/>
        </w:rPr>
        <w:t>nonprofit</w:t>
      </w:r>
      <w:r w:rsidRPr="007E77FE">
        <w:rPr>
          <w:rFonts w:ascii="Comic Sans MS" w:hAnsi="Comic Sans MS"/>
          <w:sz w:val="23"/>
          <w:szCs w:val="23"/>
        </w:rPr>
        <w:t xml:space="preserve"> community service organization, or activities on behalf of a candidate for public office. The hours must be documented in writing, and signed by the student, the student's parent or guardian, and a representative of the organization. Each public school district and private school establishes approved activities and the process for documentation of service hours.</w:t>
      </w:r>
    </w:p>
    <w:p w14:paraId="6345BC81" w14:textId="77777777" w:rsidR="007E77FE" w:rsidRPr="00DA2350" w:rsidRDefault="007C5063" w:rsidP="00DA2350">
      <w:pPr>
        <w:jc w:val="center"/>
        <w:rPr>
          <w:rFonts w:ascii="Comic Sans MS" w:hAnsi="Comic Sans MS"/>
          <w:b/>
          <w:sz w:val="18"/>
          <w:szCs w:val="18"/>
        </w:rPr>
      </w:pPr>
      <w:r>
        <w:rPr>
          <w:rFonts w:ascii="Comic Sans MS" w:hAnsi="Comic Sans MS"/>
          <w:b/>
          <w:sz w:val="18"/>
          <w:szCs w:val="18"/>
        </w:rPr>
        <w:t xml:space="preserve">Please refer to the </w:t>
      </w:r>
      <w:r w:rsidR="007E77FE" w:rsidRPr="00DA2350">
        <w:rPr>
          <w:rFonts w:ascii="Comic Sans MS" w:hAnsi="Comic Sans MS"/>
          <w:b/>
          <w:sz w:val="18"/>
          <w:szCs w:val="18"/>
        </w:rPr>
        <w:t>B</w:t>
      </w:r>
      <w:r>
        <w:rPr>
          <w:rFonts w:ascii="Comic Sans MS" w:hAnsi="Comic Sans MS"/>
          <w:b/>
          <w:sz w:val="18"/>
          <w:szCs w:val="18"/>
        </w:rPr>
        <w:t xml:space="preserve">right Futures Student Handbook at </w:t>
      </w:r>
      <w:bookmarkStart w:id="0" w:name="_GoBack"/>
      <w:r w:rsidRPr="007C5063">
        <w:rPr>
          <w:rFonts w:ascii="Comic Sans MS" w:hAnsi="Comic Sans MS"/>
          <w:b/>
          <w:sz w:val="18"/>
          <w:szCs w:val="18"/>
        </w:rPr>
        <w:t>https://www.floridastudentfinancialaidsg.org/PDF/BFHandbookChapter1.pdf</w:t>
      </w:r>
      <w:bookmarkEnd w:id="0"/>
    </w:p>
    <w:sectPr w:rsidR="007E77FE" w:rsidRPr="00DA2350" w:rsidSect="007E77FE">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D11"/>
    <w:multiLevelType w:val="hybridMultilevel"/>
    <w:tmpl w:val="1AD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833DA"/>
    <w:multiLevelType w:val="hybridMultilevel"/>
    <w:tmpl w:val="5AF25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176F7"/>
    <w:multiLevelType w:val="hybridMultilevel"/>
    <w:tmpl w:val="413E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93E74"/>
    <w:multiLevelType w:val="hybridMultilevel"/>
    <w:tmpl w:val="60365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D5D6C"/>
    <w:multiLevelType w:val="hybridMultilevel"/>
    <w:tmpl w:val="289A2624"/>
    <w:lvl w:ilvl="0" w:tplc="A70E6200">
      <w:numFmt w:val="bullet"/>
      <w:lvlText w:val="•"/>
      <w:lvlJc w:val="left"/>
      <w:pPr>
        <w:ind w:left="720" w:hanging="360"/>
      </w:pPr>
      <w:rPr>
        <w:rFonts w:ascii="Comic Sans MS" w:eastAsiaTheme="minorHAnsi" w:hAnsi="Comic Sans MS"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FE"/>
    <w:rsid w:val="001B0572"/>
    <w:rsid w:val="003A159C"/>
    <w:rsid w:val="00485947"/>
    <w:rsid w:val="00493636"/>
    <w:rsid w:val="004A170F"/>
    <w:rsid w:val="00531D95"/>
    <w:rsid w:val="005353CF"/>
    <w:rsid w:val="00637A07"/>
    <w:rsid w:val="006521C7"/>
    <w:rsid w:val="006D0D3F"/>
    <w:rsid w:val="00794057"/>
    <w:rsid w:val="007C5063"/>
    <w:rsid w:val="007D4E09"/>
    <w:rsid w:val="007E77FE"/>
    <w:rsid w:val="008E37EF"/>
    <w:rsid w:val="00923A8F"/>
    <w:rsid w:val="00A659C9"/>
    <w:rsid w:val="00CB38CB"/>
    <w:rsid w:val="00D02D2D"/>
    <w:rsid w:val="00DA2350"/>
    <w:rsid w:val="00E33301"/>
    <w:rsid w:val="00EF5662"/>
    <w:rsid w:val="00F8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AE4E"/>
  <w15:chartTrackingRefBased/>
  <w15:docId w15:val="{7C999043-9749-4B65-AD6E-38F9EA3E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7FE"/>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F84E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D95"/>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D4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2432-8CC7-45AD-B44F-53A5015E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Moseley</dc:creator>
  <cp:keywords/>
  <dc:description/>
  <cp:lastModifiedBy>Tanya Moseley</cp:lastModifiedBy>
  <cp:revision>3</cp:revision>
  <cp:lastPrinted>2019-05-17T20:28:00Z</cp:lastPrinted>
  <dcterms:created xsi:type="dcterms:W3CDTF">2020-09-11T19:05:00Z</dcterms:created>
  <dcterms:modified xsi:type="dcterms:W3CDTF">2020-09-11T19:36:00Z</dcterms:modified>
</cp:coreProperties>
</file>